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DE016" w14:textId="77777777" w:rsidR="003A3129" w:rsidRPr="003A3129" w:rsidRDefault="003A3129" w:rsidP="003A312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3A3129">
        <w:rPr>
          <w:rFonts w:ascii="Lato" w:eastAsia="Times New Roman" w:hAnsi="Lato" w:cs="Times New Roman"/>
          <w:color w:val="CC3300"/>
          <w:kern w:val="36"/>
          <w:sz w:val="36"/>
          <w:szCs w:val="36"/>
          <w:lang w:eastAsia="fr-BE"/>
          <w14:ligatures w14:val="none"/>
        </w:rPr>
        <w:t>Le LME rendra la déclaration "carbone" de l'aluminium obligatoire en 2025</w:t>
      </w:r>
    </w:p>
    <w:p w14:paraId="3C4DF8A0" w14:textId="77777777" w:rsidR="003A3129" w:rsidRDefault="003A3129" w:rsidP="003A312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1CC4618" w14:textId="1094ECD2"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b/>
          <w:bCs/>
          <w:color w:val="000000"/>
          <w:kern w:val="0"/>
          <w:sz w:val="23"/>
          <w:szCs w:val="23"/>
          <w:lang w:eastAsia="fr-BE"/>
          <w14:ligatures w14:val="none"/>
        </w:rPr>
        <w:t>Les acteurs des marchés de métaux non-ferreux sont actuellement rassemblés à Londres pour assister à la traditionnelle grand-messe du secteur : la </w:t>
      </w:r>
      <w:r w:rsidRPr="003A3129">
        <w:rPr>
          <w:rFonts w:ascii="Lato" w:eastAsia="Times New Roman" w:hAnsi="Lato" w:cs="Times New Roman"/>
          <w:b/>
          <w:bCs/>
          <w:i/>
          <w:iCs/>
          <w:color w:val="000000"/>
          <w:kern w:val="0"/>
          <w:sz w:val="23"/>
          <w:szCs w:val="23"/>
          <w:lang w:eastAsia="fr-BE"/>
          <w14:ligatures w14:val="none"/>
        </w:rPr>
        <w:t>LME Week</w:t>
      </w:r>
      <w:r w:rsidRPr="003A3129">
        <w:rPr>
          <w:rFonts w:ascii="Lato" w:eastAsia="Times New Roman" w:hAnsi="Lato" w:cs="Times New Roman"/>
          <w:b/>
          <w:bCs/>
          <w:color w:val="000000"/>
          <w:kern w:val="0"/>
          <w:sz w:val="23"/>
          <w:szCs w:val="23"/>
          <w:lang w:eastAsia="fr-BE"/>
          <w14:ligatures w14:val="none"/>
        </w:rPr>
        <w:t>. C’est l’occasion, pour eux, de dresser un état des lieux des marchés et de dégager une direction pour les mois à venir.</w:t>
      </w:r>
    </w:p>
    <w:p w14:paraId="74A9EAF8" w14:textId="77777777"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color w:val="000000"/>
          <w:kern w:val="0"/>
          <w:sz w:val="23"/>
          <w:szCs w:val="23"/>
          <w:lang w:eastAsia="fr-BE"/>
          <w14:ligatures w14:val="none"/>
        </w:rPr>
        <w:t> </w:t>
      </w:r>
    </w:p>
    <w:p w14:paraId="35A82DA5" w14:textId="77777777"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color w:val="000000"/>
          <w:kern w:val="0"/>
          <w:sz w:val="23"/>
          <w:szCs w:val="23"/>
          <w:lang w:eastAsia="fr-BE"/>
          <w14:ligatures w14:val="none"/>
        </w:rPr>
        <w:t>Si Matthew Chamberlain, dg de la bourse de Londres a estimé que 2025 était la bonne année pour rendre obligatoires les déclarations sur les émissions de carbone générées lors de la production d’aluminium, des doutes existent encore sur la volonté des consommateurs de s’acquitter de prix supérieurs pour intégrer des métaux bas carbone dans leur fabrication.</w:t>
      </w:r>
    </w:p>
    <w:p w14:paraId="0FEBEF08" w14:textId="77777777"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color w:val="000000"/>
          <w:kern w:val="0"/>
          <w:sz w:val="23"/>
          <w:szCs w:val="23"/>
          <w:lang w:eastAsia="fr-BE"/>
          <w14:ligatures w14:val="none"/>
        </w:rPr>
        <w:t>Dans la matinée du 30 septembre, le LME a annoncé qu'il rendrait obligatoire, à compter de juin 2025, la publication des niveaux d’émissions de carbone Scopes 1 et 2 pour toutes les marques d'aluminium vendues en son sein. Cette mesure vise à intégrer, dans le fonctionnement de la bourse, les critères du Mécanisme d'Ajustement Carbone aux Frontières (MACF) de l'Union Européenne. « </w:t>
      </w:r>
      <w:r w:rsidRPr="003A3129">
        <w:rPr>
          <w:rFonts w:ascii="Lato" w:eastAsia="Times New Roman" w:hAnsi="Lato" w:cs="Times New Roman"/>
          <w:i/>
          <w:iCs/>
          <w:color w:val="000000"/>
          <w:kern w:val="0"/>
          <w:sz w:val="23"/>
          <w:szCs w:val="23"/>
          <w:lang w:eastAsia="fr-BE"/>
          <w14:ligatures w14:val="none"/>
        </w:rPr>
        <w:t>Le MACF nous ouvre une nouvelle voie, car il sera désormais essentiel de disposer de ces informations [avant d'importer de l'aluminium] en Europe »</w:t>
      </w:r>
      <w:r w:rsidRPr="003A3129">
        <w:rPr>
          <w:rFonts w:ascii="Lato" w:eastAsia="Times New Roman" w:hAnsi="Lato" w:cs="Times New Roman"/>
          <w:color w:val="000000"/>
          <w:kern w:val="0"/>
          <w:sz w:val="23"/>
          <w:szCs w:val="23"/>
          <w:lang w:eastAsia="fr-BE"/>
          <w14:ligatures w14:val="none"/>
        </w:rPr>
        <w:t>, a argué Matthew Chamberlain. Et de poursuivre : « </w:t>
      </w:r>
      <w:r w:rsidRPr="003A3129">
        <w:rPr>
          <w:rFonts w:ascii="Lato" w:eastAsia="Times New Roman" w:hAnsi="Lato" w:cs="Times New Roman"/>
          <w:i/>
          <w:iCs/>
          <w:color w:val="000000"/>
          <w:kern w:val="0"/>
          <w:sz w:val="23"/>
          <w:szCs w:val="23"/>
          <w:lang w:eastAsia="fr-BE"/>
          <w14:ligatures w14:val="none"/>
        </w:rPr>
        <w:t>Nous avons estimé que c'était le bon moment pour mettre en place l’obligation de déclaration des émissions pour l'industrie de l'aluminium, non pas parce que nous l’estimons, mais parce que cela deviendra très important pour les acteurs du marché qui importeront du métal dans l'UE </w:t>
      </w:r>
      <w:r w:rsidRPr="003A3129">
        <w:rPr>
          <w:rFonts w:ascii="Lato" w:eastAsia="Times New Roman" w:hAnsi="Lato" w:cs="Times New Roman"/>
          <w:color w:val="000000"/>
          <w:kern w:val="0"/>
          <w:sz w:val="23"/>
          <w:szCs w:val="23"/>
          <w:lang w:eastAsia="fr-BE"/>
          <w14:ligatures w14:val="none"/>
        </w:rPr>
        <w:t>», a-t-il expliqué.</w:t>
      </w:r>
    </w:p>
    <w:p w14:paraId="693DC272" w14:textId="77777777"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color w:val="000000"/>
          <w:kern w:val="0"/>
          <w:sz w:val="23"/>
          <w:szCs w:val="23"/>
          <w:lang w:eastAsia="fr-BE"/>
          <w14:ligatures w14:val="none"/>
        </w:rPr>
        <w:t>Le CBAM vise à éviter les fuites de carbone en appliquant un surcoût sur certains produits importés dans l'UE, dont l'aluminium.</w:t>
      </w:r>
    </w:p>
    <w:p w14:paraId="015986A1" w14:textId="77777777" w:rsidR="003A3129" w:rsidRPr="003A3129" w:rsidRDefault="003A3129" w:rsidP="003A312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3129">
        <w:rPr>
          <w:rFonts w:ascii="Lato" w:eastAsia="Times New Roman" w:hAnsi="Lato" w:cs="Times New Roman"/>
          <w:color w:val="000000"/>
          <w:kern w:val="0"/>
          <w:sz w:val="23"/>
          <w:szCs w:val="23"/>
          <w:lang w:eastAsia="fr-BE"/>
          <w14:ligatures w14:val="none"/>
        </w:rPr>
        <w:t>« </w:t>
      </w:r>
      <w:r w:rsidRPr="003A3129">
        <w:rPr>
          <w:rFonts w:ascii="Lato" w:eastAsia="Times New Roman" w:hAnsi="Lato" w:cs="Times New Roman"/>
          <w:i/>
          <w:iCs/>
          <w:color w:val="000000"/>
          <w:kern w:val="0"/>
          <w:sz w:val="23"/>
          <w:szCs w:val="23"/>
          <w:lang w:eastAsia="fr-BE"/>
          <w14:ligatures w14:val="none"/>
        </w:rPr>
        <w:t>Le développement durable est un moteur important de l'industrie minière </w:t>
      </w:r>
      <w:r w:rsidRPr="003A3129">
        <w:rPr>
          <w:rFonts w:ascii="Lato" w:eastAsia="Times New Roman" w:hAnsi="Lato" w:cs="Times New Roman"/>
          <w:color w:val="000000"/>
          <w:kern w:val="0"/>
          <w:sz w:val="23"/>
          <w:szCs w:val="23"/>
          <w:lang w:eastAsia="fr-BE"/>
          <w14:ligatures w14:val="none"/>
        </w:rPr>
        <w:t>», a estimé Matthew Chamberlain, soulignant toutefois que le LME n’a pas vocation à « </w:t>
      </w:r>
      <w:r w:rsidRPr="003A3129">
        <w:rPr>
          <w:rFonts w:ascii="Lato" w:eastAsia="Times New Roman" w:hAnsi="Lato" w:cs="Times New Roman"/>
          <w:i/>
          <w:iCs/>
          <w:color w:val="000000"/>
          <w:kern w:val="0"/>
          <w:sz w:val="23"/>
          <w:szCs w:val="23"/>
          <w:lang w:eastAsia="fr-BE"/>
          <w14:ligatures w14:val="none"/>
        </w:rPr>
        <w:t>dire à l'industrie ce qu'elle doit faire », </w:t>
      </w:r>
      <w:r w:rsidRPr="003A3129">
        <w:rPr>
          <w:rFonts w:ascii="Lato" w:eastAsia="Times New Roman" w:hAnsi="Lato" w:cs="Times New Roman"/>
          <w:color w:val="000000"/>
          <w:kern w:val="0"/>
          <w:sz w:val="23"/>
          <w:szCs w:val="23"/>
          <w:lang w:eastAsia="fr-BE"/>
          <w14:ligatures w14:val="none"/>
        </w:rPr>
        <w:t>que son travail consiste plutôt à « </w:t>
      </w:r>
      <w:r w:rsidRPr="003A3129">
        <w:rPr>
          <w:rFonts w:ascii="Lato" w:eastAsia="Times New Roman" w:hAnsi="Lato" w:cs="Times New Roman"/>
          <w:i/>
          <w:iCs/>
          <w:color w:val="000000"/>
          <w:kern w:val="0"/>
          <w:sz w:val="23"/>
          <w:szCs w:val="23"/>
          <w:lang w:eastAsia="fr-BE"/>
          <w14:ligatures w14:val="none"/>
        </w:rPr>
        <w:t>donner une direction au marché </w:t>
      </w:r>
      <w:r w:rsidRPr="003A3129">
        <w:rPr>
          <w:rFonts w:ascii="Lato" w:eastAsia="Times New Roman" w:hAnsi="Lato" w:cs="Times New Roman"/>
          <w:color w:val="000000"/>
          <w:kern w:val="0"/>
          <w:sz w:val="23"/>
          <w:szCs w:val="23"/>
          <w:lang w:eastAsia="fr-BE"/>
          <w14:ligatures w14:val="none"/>
        </w:rPr>
        <w:t>».</w:t>
      </w:r>
    </w:p>
    <w:p w14:paraId="4C16F42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29"/>
    <w:rsid w:val="00287462"/>
    <w:rsid w:val="003A3129"/>
    <w:rsid w:val="00510F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A548"/>
  <w15:chartTrackingRefBased/>
  <w15:docId w15:val="{9D1F6106-9190-4827-8DAE-727177C4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3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3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31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31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31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31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31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31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31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1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31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31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31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31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31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31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31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3129"/>
    <w:rPr>
      <w:rFonts w:eastAsiaTheme="majorEastAsia" w:cstheme="majorBidi"/>
      <w:color w:val="272727" w:themeColor="text1" w:themeTint="D8"/>
    </w:rPr>
  </w:style>
  <w:style w:type="paragraph" w:styleId="Titre">
    <w:name w:val="Title"/>
    <w:basedOn w:val="Normal"/>
    <w:next w:val="Normal"/>
    <w:link w:val="TitreCar"/>
    <w:uiPriority w:val="10"/>
    <w:qFormat/>
    <w:rsid w:val="003A3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31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31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31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3129"/>
    <w:pPr>
      <w:spacing w:before="160"/>
      <w:jc w:val="center"/>
    </w:pPr>
    <w:rPr>
      <w:i/>
      <w:iCs/>
      <w:color w:val="404040" w:themeColor="text1" w:themeTint="BF"/>
    </w:rPr>
  </w:style>
  <w:style w:type="character" w:customStyle="1" w:styleId="CitationCar">
    <w:name w:val="Citation Car"/>
    <w:basedOn w:val="Policepardfaut"/>
    <w:link w:val="Citation"/>
    <w:uiPriority w:val="29"/>
    <w:rsid w:val="003A3129"/>
    <w:rPr>
      <w:i/>
      <w:iCs/>
      <w:color w:val="404040" w:themeColor="text1" w:themeTint="BF"/>
    </w:rPr>
  </w:style>
  <w:style w:type="paragraph" w:styleId="Paragraphedeliste">
    <w:name w:val="List Paragraph"/>
    <w:basedOn w:val="Normal"/>
    <w:uiPriority w:val="34"/>
    <w:qFormat/>
    <w:rsid w:val="003A3129"/>
    <w:pPr>
      <w:ind w:left="720"/>
      <w:contextualSpacing/>
    </w:pPr>
  </w:style>
  <w:style w:type="character" w:styleId="Accentuationintense">
    <w:name w:val="Intense Emphasis"/>
    <w:basedOn w:val="Policepardfaut"/>
    <w:uiPriority w:val="21"/>
    <w:qFormat/>
    <w:rsid w:val="003A3129"/>
    <w:rPr>
      <w:i/>
      <w:iCs/>
      <w:color w:val="0F4761" w:themeColor="accent1" w:themeShade="BF"/>
    </w:rPr>
  </w:style>
  <w:style w:type="paragraph" w:styleId="Citationintense">
    <w:name w:val="Intense Quote"/>
    <w:basedOn w:val="Normal"/>
    <w:next w:val="Normal"/>
    <w:link w:val="CitationintenseCar"/>
    <w:uiPriority w:val="30"/>
    <w:qFormat/>
    <w:rsid w:val="003A3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3129"/>
    <w:rPr>
      <w:i/>
      <w:iCs/>
      <w:color w:val="0F4761" w:themeColor="accent1" w:themeShade="BF"/>
    </w:rPr>
  </w:style>
  <w:style w:type="character" w:styleId="Rfrenceintense">
    <w:name w:val="Intense Reference"/>
    <w:basedOn w:val="Policepardfaut"/>
    <w:uiPriority w:val="32"/>
    <w:qFormat/>
    <w:rsid w:val="003A31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2024-10-07T06:16:00Z</dcterms:created>
  <dcterms:modified xsi:type="dcterms:W3CDTF">2024-10-07T06:17:00Z</dcterms:modified>
</cp:coreProperties>
</file>